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2026"/>
        <w:tblW w:w="10702" w:type="dxa"/>
        <w:tblCellMar>
          <w:left w:w="10" w:type="dxa"/>
          <w:right w:w="10" w:type="dxa"/>
        </w:tblCellMar>
        <w:tblLook w:val="04A0" w:firstRow="1" w:lastRow="0" w:firstColumn="1" w:lastColumn="0" w:noHBand="0" w:noVBand="1"/>
      </w:tblPr>
      <w:tblGrid>
        <w:gridCol w:w="391"/>
        <w:gridCol w:w="424"/>
        <w:gridCol w:w="5701"/>
        <w:gridCol w:w="425"/>
        <w:gridCol w:w="425"/>
        <w:gridCol w:w="426"/>
        <w:gridCol w:w="2910"/>
      </w:tblGrid>
      <w:tr w:rsidR="00934A0F" w:rsidRPr="00EC4AB6" w:rsidTr="00B04710">
        <w:trPr>
          <w:trHeight w:val="558"/>
        </w:trPr>
        <w:tc>
          <w:tcPr>
            <w:tcW w:w="815" w:type="dxa"/>
            <w:gridSpan w:val="2"/>
            <w:tcBorders>
              <w:top w:val="single" w:sz="4" w:space="0" w:color="000000"/>
              <w:left w:val="single" w:sz="4" w:space="0" w:color="000000"/>
              <w:bottom w:val="single" w:sz="4" w:space="0" w:color="000000"/>
              <w:right w:val="single" w:sz="4" w:space="0" w:color="000000"/>
            </w:tcBorders>
          </w:tcPr>
          <w:p w:rsidR="00E5351D" w:rsidRPr="00EC4AB6" w:rsidRDefault="00E5351D" w:rsidP="001473C6">
            <w:pPr>
              <w:jc w:val="center"/>
              <w:rPr>
                <w:rFonts w:ascii="游明朝" w:eastAsia="游明朝" w:hAnsi="游明朝" w:cs="Times New Roman"/>
              </w:rPr>
            </w:pPr>
            <w:bookmarkStart w:id="0" w:name="_GoBack"/>
            <w:bookmarkEnd w:id="0"/>
          </w:p>
        </w:tc>
        <w:tc>
          <w:tcPr>
            <w:tcW w:w="5701" w:type="dxa"/>
            <w:tcBorders>
              <w:top w:val="single" w:sz="4" w:space="0" w:color="000000"/>
              <w:left w:val="single" w:sz="4" w:space="0" w:color="000000"/>
              <w:bottom w:val="single" w:sz="4" w:space="0" w:color="000000"/>
              <w:right w:val="single" w:sz="4" w:space="0" w:color="000000"/>
            </w:tcBorders>
            <w:vAlign w:val="center"/>
          </w:tcPr>
          <w:p w:rsidR="00E5351D" w:rsidRPr="00EC4AB6" w:rsidRDefault="00E5351D" w:rsidP="001473C6">
            <w:pPr>
              <w:jc w:val="center"/>
              <w:rPr>
                <w:rFonts w:ascii="游明朝" w:eastAsia="游明朝" w:hAnsi="游明朝" w:cs="Times New Roman"/>
                <w:sz w:val="28"/>
                <w:szCs w:val="28"/>
              </w:rPr>
            </w:pPr>
            <w:r w:rsidRPr="00EC4AB6">
              <w:rPr>
                <w:rFonts w:ascii="Times New Roman" w:eastAsia="ＭＳ ゴシック" w:hAnsi="Times New Roman" w:cs="Times New Roman" w:hint="eastAsia"/>
                <w:color w:val="000000"/>
                <w:sz w:val="28"/>
                <w:szCs w:val="28"/>
              </w:rPr>
              <w:t>ﾁｴﾂｸ項目</w:t>
            </w:r>
          </w:p>
        </w:tc>
        <w:tc>
          <w:tcPr>
            <w:tcW w:w="425" w:type="dxa"/>
            <w:tcBorders>
              <w:top w:val="single" w:sz="4" w:space="0" w:color="000000"/>
              <w:left w:val="single" w:sz="4" w:space="0" w:color="000000"/>
              <w:bottom w:val="single" w:sz="4" w:space="0" w:color="000000"/>
              <w:right w:val="single" w:sz="4" w:space="0" w:color="000000"/>
            </w:tcBorders>
            <w:vAlign w:val="center"/>
          </w:tcPr>
          <w:p w:rsidR="00E5351D" w:rsidRPr="00EC4AB6" w:rsidRDefault="009F202A" w:rsidP="00B04710">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E5351D" w:rsidRPr="00EC4AB6" w:rsidRDefault="009F202A" w:rsidP="00B04710">
            <w:pPr>
              <w:spacing w:line="0" w:lineRule="atLeast"/>
              <w:jc w:val="center"/>
              <w:rPr>
                <w:rFonts w:ascii="游明朝" w:eastAsia="游明朝" w:hAnsi="游明朝" w:cs="Times New Roman"/>
                <w:sz w:val="20"/>
                <w:szCs w:val="20"/>
              </w:rPr>
            </w:pPr>
            <w:r w:rsidRPr="009F202A">
              <w:rPr>
                <w:rFonts w:ascii="游明朝" w:eastAsia="游明朝" w:hAnsi="游明朝" w:cs="Times New Roman" w:hint="eastAsia"/>
                <w:sz w:val="20"/>
                <w:szCs w:val="20"/>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E5351D" w:rsidRPr="00EC4AB6" w:rsidRDefault="009F202A" w:rsidP="00B04710">
            <w:pPr>
              <w:jc w:val="center"/>
              <w:rPr>
                <w:rFonts w:asciiTheme="majorEastAsia" w:eastAsiaTheme="majorEastAsia" w:hAnsiTheme="majorEastAsia" w:cs="Times New Roman"/>
                <w:sz w:val="20"/>
                <w:szCs w:val="20"/>
              </w:rPr>
            </w:pPr>
            <w:r w:rsidRPr="009F202A">
              <w:rPr>
                <w:rFonts w:asciiTheme="majorEastAsia" w:eastAsiaTheme="majorEastAsia" w:hAnsiTheme="majorEastAsia" w:cs="Segoe UI Symbol" w:hint="eastAsia"/>
                <w:sz w:val="20"/>
                <w:szCs w:val="20"/>
              </w:rPr>
              <w:t>×</w:t>
            </w:r>
          </w:p>
        </w:tc>
        <w:tc>
          <w:tcPr>
            <w:tcW w:w="2910" w:type="dxa"/>
            <w:tcBorders>
              <w:top w:val="single" w:sz="4" w:space="0" w:color="000000"/>
              <w:left w:val="single" w:sz="4" w:space="0" w:color="000000"/>
              <w:bottom w:val="single" w:sz="4" w:space="0" w:color="000000"/>
              <w:right w:val="single" w:sz="4" w:space="0" w:color="000000"/>
            </w:tcBorders>
            <w:vAlign w:val="center"/>
          </w:tcPr>
          <w:p w:rsidR="00E5351D" w:rsidRPr="00EC4AB6" w:rsidRDefault="00E5351D" w:rsidP="001473C6">
            <w:pPr>
              <w:rPr>
                <w:rFonts w:ascii="游明朝" w:eastAsia="游明朝" w:hAnsi="游明朝" w:cs="Times New Roman"/>
              </w:rPr>
            </w:pPr>
            <w:r w:rsidRPr="00EC4AB6">
              <w:rPr>
                <w:rFonts w:ascii="Times New Roman" w:eastAsia="ＭＳ ゴシック" w:hAnsi="Times New Roman" w:cs="Times New Roman" w:hint="eastAsia"/>
                <w:color w:val="000000"/>
                <w:sz w:val="20"/>
              </w:rPr>
              <w:t>改善目標､工夫している点など</w:t>
            </w:r>
          </w:p>
        </w:tc>
      </w:tr>
      <w:tr w:rsidR="009A6CB3" w:rsidRPr="00EC4AB6" w:rsidTr="003B4406">
        <w:trPr>
          <w:trHeight w:val="385"/>
        </w:trPr>
        <w:tc>
          <w:tcPr>
            <w:tcW w:w="391" w:type="dxa"/>
            <w:vMerge w:val="restart"/>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環</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境</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体</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制</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整</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備</w:t>
            </w: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１</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利用定員が指導訓練室等スペースとの関係で適切であるか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562"/>
        </w:trPr>
        <w:tc>
          <w:tcPr>
            <w:tcW w:w="391" w:type="dxa"/>
            <w:vMerge/>
            <w:tcBorders>
              <w:top w:val="single" w:sz="4" w:space="0" w:color="000000"/>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２</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職員の配置数は適切であるか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598"/>
        </w:trPr>
        <w:tc>
          <w:tcPr>
            <w:tcW w:w="391" w:type="dxa"/>
            <w:vMerge/>
            <w:tcBorders>
              <w:top w:val="single" w:sz="4" w:space="0" w:color="000000"/>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３</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事業所の設備等について、バリアフリー化の配慮が適切になされているか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E37A9C" w:rsidP="009A6CB3">
            <w:pPr>
              <w:spacing w:line="0" w:lineRule="atLeast"/>
              <w:jc w:val="center"/>
              <w:rPr>
                <w:rFonts w:ascii="游明朝" w:eastAsia="游明朝" w:hAnsi="游明朝" w:cs="Times New Roman"/>
              </w:rPr>
            </w:pPr>
            <w:r w:rsidRPr="009F202A">
              <w:rPr>
                <w:rFonts w:ascii="Times New Roman" w:eastAsia="ＭＳ ゴシック" w:hAnsi="Times New Roman" w:cs="Times New Roman" w:hint="eastAsia"/>
                <w:color w:val="000000"/>
                <w:sz w:val="20"/>
                <w:szCs w:val="20"/>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535"/>
        </w:trPr>
        <w:tc>
          <w:tcPr>
            <w:tcW w:w="391" w:type="dxa"/>
            <w:vMerge w:val="restart"/>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業</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務</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改</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善</w:t>
            </w: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４</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業務改善を進めるための</w:t>
            </w:r>
            <w:r w:rsidRPr="00EC4AB6">
              <w:rPr>
                <w:rFonts w:ascii="Times New Roman" w:eastAsia="ＭＳ ゴシック" w:hAnsi="Times New Roman" w:cs="Times New Roman" w:hint="eastAsia"/>
                <w:color w:val="000000"/>
                <w:sz w:val="20"/>
              </w:rPr>
              <w:t>PDCA</w:t>
            </w:r>
            <w:r w:rsidRPr="00EC4AB6">
              <w:rPr>
                <w:rFonts w:ascii="Times New Roman" w:eastAsia="ＭＳ ゴシック" w:hAnsi="Times New Roman" w:cs="Times New Roman" w:hint="eastAsia"/>
                <w:color w:val="000000"/>
                <w:sz w:val="20"/>
              </w:rPr>
              <w:t>サイクル</w:t>
            </w:r>
          </w:p>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（目標設定と振り返り）に広く職員が参画しているか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602"/>
        </w:trPr>
        <w:tc>
          <w:tcPr>
            <w:tcW w:w="391" w:type="dxa"/>
            <w:vMerge/>
            <w:tcBorders>
              <w:top w:val="single" w:sz="4" w:space="0" w:color="000000"/>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５</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保護者等向け評価表を活用する等によりアンケート調査を実施して保護者等の意向等を把握し､業務改善につなげているか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592"/>
        </w:trPr>
        <w:tc>
          <w:tcPr>
            <w:tcW w:w="391" w:type="dxa"/>
            <w:vMerge/>
            <w:tcBorders>
              <w:top w:val="single" w:sz="4" w:space="0" w:color="000000"/>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６</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この自己評価の結果を、事業所の会報やホームページ等で公開しているか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546"/>
        </w:trPr>
        <w:tc>
          <w:tcPr>
            <w:tcW w:w="391" w:type="dxa"/>
            <w:vMerge/>
            <w:tcBorders>
              <w:top w:val="single" w:sz="4" w:space="0" w:color="000000"/>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r>
              <w:rPr>
                <w:rFonts w:ascii="游明朝" w:eastAsia="游明朝" w:hAnsi="游明朝" w:cs="Times New Roman" w:hint="eastAsia"/>
              </w:rPr>
              <w:t>７</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第三者による外部評価を行い､評価結果を業務改善につなげ</w:t>
            </w:r>
            <w:r w:rsidR="00BB3C80">
              <w:rPr>
                <w:rFonts w:ascii="Times New Roman" w:eastAsia="ＭＳ ゴシック" w:hAnsi="Times New Roman" w:cs="Times New Roman" w:hint="eastAsia"/>
                <w:color w:val="000000"/>
                <w:sz w:val="20"/>
              </w:rPr>
              <w:t>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361"/>
        </w:trPr>
        <w:tc>
          <w:tcPr>
            <w:tcW w:w="391" w:type="dxa"/>
            <w:vMerge/>
            <w:tcBorders>
              <w:top w:val="single" w:sz="4" w:space="0" w:color="000000"/>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8</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職員の資質の向上を行うために、研修の機会を確保しているか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847"/>
        </w:trPr>
        <w:tc>
          <w:tcPr>
            <w:tcW w:w="391" w:type="dxa"/>
            <w:vMerge w:val="restart"/>
            <w:tcBorders>
              <w:top w:val="single" w:sz="4" w:space="0" w:color="000000"/>
              <w:left w:val="single" w:sz="4" w:space="0" w:color="000000"/>
              <w:right w:val="single" w:sz="4" w:space="0" w:color="000000"/>
            </w:tcBorders>
            <w:shd w:val="clear" w:color="auto" w:fill="CCFF66"/>
            <w:vAlign w:val="center"/>
          </w:tcPr>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関</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係</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機</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関</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や</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保</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護</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者</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と</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の</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連</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携</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関</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係</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機</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関</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や</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保</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護</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者</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と</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の</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連</w:t>
            </w:r>
          </w:p>
          <w:p w:rsidR="009A6CB3" w:rsidRPr="00EC4AB6" w:rsidRDefault="009A6CB3" w:rsidP="009A6CB3">
            <w:pPr>
              <w:spacing w:line="0" w:lineRule="atLeast"/>
              <w:jc w:val="center"/>
              <w:rPr>
                <w:rFonts w:ascii="游明朝" w:eastAsia="游明朝" w:hAnsi="游明朝" w:cs="Times New Roman"/>
              </w:rPr>
            </w:pPr>
            <w:r w:rsidRPr="00EC4AB6">
              <w:rPr>
                <w:rFonts w:ascii="Times New Roman" w:eastAsia="ＭＳ ゴシック" w:hAnsi="Times New Roman" w:cs="Times New Roman" w:hint="eastAsia"/>
                <w:color w:val="000000"/>
                <w:sz w:val="20"/>
              </w:rPr>
              <w:t>携</w:t>
            </w: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9</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アセスメントを適切に行い､子どもと保護者のニーズや課題を客観的に分析した上で、放課後等ディサービス計画を作成しているか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667"/>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0</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子どもの適応行動の状況を図るために標準化されたアセスメントツールを使用しているか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380"/>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1</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活動ﾌﾟﾛｸﾞﾗﾑの立案をチームで行</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3B4406">
        <w:trPr>
          <w:trHeight w:val="440"/>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2</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活動ﾌﾟﾛｸﾞﾗﾑが固定化しないよう工夫しているか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514"/>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3</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平曰、休曰、長期休暇に応じて、課題をきめ細やかに設定して支援しているか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779"/>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4</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子どもの状況に応じて、個別活動と集団活動を適宜組み合わせて放課後等ディサービス計画を作成しているか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752"/>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5</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支援開始前には職員間で必ず打合せをし、その曰行われる支援の内容や役割分担について確認しているか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737"/>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6</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支援終了後には、職員間で必ず打合せを</w:t>
            </w:r>
          </w:p>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し､その曰行われた支援の振り返りを行い､気付いた点等を共有しているか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BB3C80">
        <w:trPr>
          <w:trHeight w:val="716"/>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7</w:t>
            </w:r>
          </w:p>
        </w:tc>
        <w:tc>
          <w:tcPr>
            <w:tcW w:w="5701" w:type="dxa"/>
            <w:tcBorders>
              <w:top w:val="single" w:sz="4" w:space="0" w:color="000000"/>
              <w:left w:val="single" w:sz="4" w:space="0" w:color="000000"/>
              <w:bottom w:val="single" w:sz="4" w:space="0" w:color="auto"/>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曰々の支援に関して正しく記録をとることを徹底し､支援の検証･改善につなげ</w:t>
            </w:r>
            <w:r>
              <w:rPr>
                <w:rFonts w:ascii="Times New Roman" w:eastAsia="ＭＳ ゴシック" w:hAnsi="Times New Roman" w:cs="Times New Roman" w:hint="eastAsia"/>
                <w:color w:val="000000"/>
                <w:sz w:val="20"/>
              </w:rPr>
              <w:t>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auto"/>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auto"/>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auto"/>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910EEE">
        <w:trPr>
          <w:trHeight w:val="600"/>
        </w:trPr>
        <w:tc>
          <w:tcPr>
            <w:tcW w:w="391" w:type="dxa"/>
            <w:vMerge/>
            <w:tcBorders>
              <w:left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rPr>
              <w:t>1</w:t>
            </w:r>
            <w:r>
              <w:rPr>
                <w:rFonts w:ascii="游明朝" w:eastAsia="游明朝" w:hAnsi="游明朝" w:cs="Times New Roman" w:hint="eastAsia"/>
              </w:rPr>
              <w:t>8</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定期的にﾓﾆﾀﾘﾝｸﾞを行い､放課後等ディサ</w:t>
            </w:r>
          </w:p>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ービス計画の見直しの必要性を判断しているか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auto"/>
              <w:left w:val="single" w:sz="4" w:space="0" w:color="000000"/>
              <w:bottom w:val="single" w:sz="4" w:space="0" w:color="auto"/>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auto"/>
              <w:left w:val="single" w:sz="4" w:space="0" w:color="000000"/>
              <w:bottom w:val="single" w:sz="4" w:space="0" w:color="auto"/>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auto"/>
              <w:left w:val="single" w:sz="4" w:space="0" w:color="000000"/>
              <w:bottom w:val="single" w:sz="4" w:space="0" w:color="auto"/>
              <w:right w:val="single" w:sz="4" w:space="0" w:color="000000"/>
            </w:tcBorders>
          </w:tcPr>
          <w:p w:rsidR="009A6CB3" w:rsidRPr="00EC4AB6" w:rsidRDefault="009A6CB3" w:rsidP="009A6CB3">
            <w:pPr>
              <w:spacing w:line="0" w:lineRule="atLeast"/>
              <w:rPr>
                <w:rFonts w:ascii="游明朝" w:eastAsia="游明朝" w:hAnsi="游明朝" w:cs="Times New Roman"/>
              </w:rPr>
            </w:pPr>
          </w:p>
        </w:tc>
      </w:tr>
      <w:tr w:rsidR="009A6CB3" w:rsidRPr="00EC4AB6" w:rsidTr="00BB3C80">
        <w:trPr>
          <w:trHeight w:val="514"/>
        </w:trPr>
        <w:tc>
          <w:tcPr>
            <w:tcW w:w="391" w:type="dxa"/>
            <w:vMerge/>
            <w:tcBorders>
              <w:left w:val="single" w:sz="4" w:space="0" w:color="000000"/>
              <w:bottom w:val="single" w:sz="4" w:space="0" w:color="000000"/>
              <w:right w:val="single" w:sz="4" w:space="0" w:color="000000"/>
            </w:tcBorders>
            <w:shd w:val="clear" w:color="auto" w:fill="CCFF66"/>
          </w:tcPr>
          <w:p w:rsidR="009A6CB3" w:rsidRPr="00EC4AB6" w:rsidRDefault="009A6CB3" w:rsidP="009A6CB3">
            <w:pPr>
              <w:spacing w:line="0" w:lineRule="atLeast"/>
              <w:jc w:val="center"/>
              <w:rPr>
                <w:rFonts w:ascii="游明朝" w:eastAsia="游明朝" w:hAnsi="游明朝" w:cs="Times New Roman"/>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9A6CB3">
            <w:pPr>
              <w:spacing w:line="0" w:lineRule="atLeast"/>
              <w:jc w:val="center"/>
              <w:rPr>
                <w:rFonts w:ascii="游明朝" w:eastAsia="游明朝" w:hAnsi="游明朝" w:cs="Times New Roman"/>
              </w:rPr>
            </w:pPr>
            <w:r>
              <w:rPr>
                <w:rFonts w:ascii="游明朝" w:eastAsia="游明朝" w:hAnsi="游明朝" w:cs="Times New Roman" w:hint="eastAsia"/>
              </w:rPr>
              <w:t>1</w:t>
            </w:r>
            <w:r>
              <w:rPr>
                <w:rFonts w:ascii="游明朝" w:eastAsia="游明朝" w:hAnsi="游明朝" w:cs="Times New Roman"/>
              </w:rPr>
              <w:t>9</w:t>
            </w:r>
          </w:p>
        </w:tc>
        <w:tc>
          <w:tcPr>
            <w:tcW w:w="5701"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ｶﾞｲﾄﾞﾗｲﾝの総則の基本活動を複数組み合</w:t>
            </w:r>
          </w:p>
          <w:p w:rsidR="009A6CB3" w:rsidRPr="00EC4AB6" w:rsidRDefault="009A6CB3" w:rsidP="009A6CB3">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わせて支援を行</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9A6CB3">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426" w:type="dxa"/>
            <w:tcBorders>
              <w:top w:val="single" w:sz="4" w:space="0" w:color="auto"/>
              <w:left w:val="single" w:sz="4" w:space="0" w:color="000000"/>
              <w:bottom w:val="single" w:sz="4" w:space="0" w:color="000000"/>
              <w:right w:val="single" w:sz="4" w:space="0" w:color="000000"/>
            </w:tcBorders>
            <w:vAlign w:val="center"/>
          </w:tcPr>
          <w:p w:rsidR="009A6CB3" w:rsidRPr="00EC4AB6" w:rsidRDefault="009A6CB3" w:rsidP="009A6CB3">
            <w:pPr>
              <w:spacing w:line="0" w:lineRule="atLeast"/>
              <w:jc w:val="center"/>
              <w:rPr>
                <w:rFonts w:ascii="游明朝" w:eastAsia="游明朝" w:hAnsi="游明朝" w:cs="Times New Roman"/>
              </w:rPr>
            </w:pPr>
          </w:p>
        </w:tc>
        <w:tc>
          <w:tcPr>
            <w:tcW w:w="2910" w:type="dxa"/>
            <w:tcBorders>
              <w:top w:val="single" w:sz="4" w:space="0" w:color="auto"/>
              <w:left w:val="single" w:sz="4" w:space="0" w:color="000000"/>
              <w:bottom w:val="single" w:sz="4" w:space="0" w:color="000000"/>
              <w:right w:val="single" w:sz="4" w:space="0" w:color="000000"/>
            </w:tcBorders>
          </w:tcPr>
          <w:p w:rsidR="009A6CB3" w:rsidRPr="00EC4AB6" w:rsidRDefault="009A6CB3" w:rsidP="009A6CB3">
            <w:pPr>
              <w:spacing w:line="0" w:lineRule="atLeast"/>
              <w:rPr>
                <w:rFonts w:ascii="游明朝" w:eastAsia="游明朝" w:hAnsi="游明朝" w:cs="Times New Roman"/>
              </w:rPr>
            </w:pPr>
          </w:p>
        </w:tc>
      </w:tr>
    </w:tbl>
    <w:p w:rsidR="001473C6" w:rsidRDefault="001473C6" w:rsidP="001473C6">
      <w:pPr>
        <w:snapToGrid w:val="0"/>
        <w:jc w:val="center"/>
        <w:rPr>
          <w:rFonts w:ascii="Times New Roman" w:eastAsia="ＭＳ ゴシック" w:hAnsi="Times New Roman" w:cs="Times New Roman"/>
          <w:color w:val="000000"/>
          <w:sz w:val="24"/>
        </w:rPr>
      </w:pPr>
    </w:p>
    <w:p w:rsidR="001473C6" w:rsidRDefault="001473C6" w:rsidP="001473C6">
      <w:pPr>
        <w:snapToGrid w:val="0"/>
        <w:jc w:val="center"/>
        <w:rPr>
          <w:rFonts w:ascii="Times New Roman" w:eastAsia="ＭＳ ゴシック" w:hAnsi="Times New Roman" w:cs="Times New Roman"/>
          <w:color w:val="000000"/>
          <w:sz w:val="24"/>
        </w:rPr>
      </w:pPr>
    </w:p>
    <w:p w:rsidR="001473C6" w:rsidRDefault="001473C6" w:rsidP="001473C6">
      <w:pPr>
        <w:snapToGrid w:val="0"/>
        <w:jc w:val="center"/>
        <w:rPr>
          <w:rFonts w:ascii="Times New Roman" w:eastAsia="ＭＳ ゴシック" w:hAnsi="Times New Roman" w:cs="Times New Roman"/>
          <w:color w:val="000000"/>
          <w:sz w:val="24"/>
        </w:rPr>
      </w:pPr>
    </w:p>
    <w:p w:rsidR="001473C6" w:rsidRDefault="001473C6" w:rsidP="001473C6">
      <w:pPr>
        <w:snapToGrid w:val="0"/>
        <w:jc w:val="center"/>
        <w:rPr>
          <w:rFonts w:ascii="Times New Roman" w:eastAsia="ＭＳ ゴシック" w:hAnsi="Times New Roman" w:cs="Times New Roman"/>
          <w:color w:val="000000"/>
          <w:sz w:val="24"/>
        </w:rPr>
      </w:pPr>
    </w:p>
    <w:p w:rsidR="001473C6" w:rsidRPr="001473C6" w:rsidRDefault="00EC4AB6" w:rsidP="001473C6">
      <w:pPr>
        <w:snapToGrid w:val="0"/>
        <w:jc w:val="center"/>
        <w:rPr>
          <w:rFonts w:ascii="Times New Roman" w:eastAsia="ＭＳ ゴシック" w:hAnsi="Times New Roman" w:cs="Times New Roman"/>
          <w:color w:val="000000"/>
          <w:sz w:val="28"/>
          <w:szCs w:val="28"/>
        </w:rPr>
      </w:pPr>
      <w:r w:rsidRPr="00EC4AB6">
        <w:rPr>
          <w:rFonts w:ascii="Times New Roman" w:eastAsia="ＭＳ ゴシック" w:hAnsi="Times New Roman" w:cs="Times New Roman" w:hint="eastAsia"/>
          <w:color w:val="000000"/>
          <w:sz w:val="28"/>
          <w:szCs w:val="28"/>
        </w:rPr>
        <w:t>事業者向け</w:t>
      </w:r>
      <w:r w:rsidRPr="00EC4AB6">
        <w:rPr>
          <w:rFonts w:ascii="Times New Roman" w:eastAsia="ＭＳ ゴシック" w:hAnsi="Times New Roman" w:cs="Times New Roman" w:hint="eastAsia"/>
          <w:color w:val="000000"/>
          <w:sz w:val="28"/>
          <w:szCs w:val="28"/>
        </w:rPr>
        <w:t>|</w:t>
      </w:r>
      <w:r w:rsidRPr="00EC4AB6">
        <w:rPr>
          <w:rFonts w:ascii="Times New Roman" w:eastAsia="ＭＳ ゴシック" w:hAnsi="Times New Roman" w:cs="Times New Roman" w:hint="eastAsia"/>
          <w:color w:val="000000"/>
          <w:sz w:val="28"/>
          <w:szCs w:val="28"/>
        </w:rPr>
        <w:t>放課後等デイサービス自己評価表</w:t>
      </w:r>
      <w:r w:rsidR="00B04710">
        <w:rPr>
          <w:rFonts w:ascii="Times New Roman" w:eastAsia="ＭＳ ゴシック" w:hAnsi="Times New Roman" w:cs="Times New Roman" w:hint="eastAsia"/>
          <w:color w:val="000000"/>
          <w:sz w:val="28"/>
          <w:szCs w:val="28"/>
        </w:rPr>
        <w:t>（</w:t>
      </w:r>
      <w:r w:rsidR="00B04710">
        <w:rPr>
          <w:rFonts w:ascii="Times New Roman" w:eastAsia="ＭＳ ゴシック" w:hAnsi="Times New Roman" w:cs="Times New Roman" w:hint="eastAsia"/>
          <w:color w:val="000000"/>
          <w:sz w:val="28"/>
          <w:szCs w:val="28"/>
        </w:rPr>
        <w:t>2017</w:t>
      </w:r>
      <w:r w:rsidR="00B04710">
        <w:rPr>
          <w:rFonts w:ascii="Times New Roman" w:eastAsia="ＭＳ ゴシック" w:hAnsi="Times New Roman" w:cs="Times New Roman" w:hint="eastAsia"/>
          <w:color w:val="000000"/>
          <w:sz w:val="28"/>
          <w:szCs w:val="28"/>
        </w:rPr>
        <w:t>年度）</w:t>
      </w:r>
    </w:p>
    <w:p w:rsidR="00437A7A" w:rsidRDefault="00437A7A"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P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Default="001473C6" w:rsidP="00443199">
      <w:pPr>
        <w:snapToGrid w:val="0"/>
        <w:rPr>
          <w:rFonts w:ascii="游明朝" w:eastAsia="游明朝" w:hAnsi="游明朝" w:cs="Times New Roman"/>
          <w:sz w:val="2"/>
          <w:szCs w:val="2"/>
        </w:rPr>
      </w:pPr>
    </w:p>
    <w:p w:rsidR="001473C6" w:rsidRPr="001473C6" w:rsidRDefault="001473C6" w:rsidP="00443199">
      <w:pPr>
        <w:snapToGrid w:val="0"/>
        <w:rPr>
          <w:rFonts w:ascii="游明朝" w:eastAsia="游明朝" w:hAnsi="游明朝" w:cs="Times New Roman"/>
          <w:sz w:val="2"/>
          <w:szCs w:val="2"/>
        </w:rPr>
      </w:pPr>
    </w:p>
    <w:tbl>
      <w:tblPr>
        <w:tblpPr w:leftFromText="142" w:rightFromText="142" w:horzAnchor="margin" w:tblpY="345"/>
        <w:tblW w:w="10702" w:type="dxa"/>
        <w:tblCellMar>
          <w:left w:w="10" w:type="dxa"/>
          <w:right w:w="10" w:type="dxa"/>
        </w:tblCellMar>
        <w:tblLook w:val="04A0" w:firstRow="1" w:lastRow="0" w:firstColumn="1" w:lastColumn="0" w:noHBand="0" w:noVBand="1"/>
      </w:tblPr>
      <w:tblGrid>
        <w:gridCol w:w="393"/>
        <w:gridCol w:w="427"/>
        <w:gridCol w:w="5696"/>
        <w:gridCol w:w="425"/>
        <w:gridCol w:w="425"/>
        <w:gridCol w:w="426"/>
        <w:gridCol w:w="2910"/>
      </w:tblGrid>
      <w:tr w:rsidR="009A6CB3" w:rsidRPr="00EC4AB6" w:rsidTr="00BB3C80">
        <w:trPr>
          <w:trHeight w:val="557"/>
        </w:trPr>
        <w:tc>
          <w:tcPr>
            <w:tcW w:w="393" w:type="dxa"/>
            <w:vMerge w:val="restart"/>
            <w:tcBorders>
              <w:top w:val="single" w:sz="4" w:space="0" w:color="000000"/>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lastRenderedPageBreak/>
              <w:t>関</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係</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機</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関</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や</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保</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護</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者</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と</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の</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連</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携</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関</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係</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機</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関</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や</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保</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護</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者</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と</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の</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連</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携</w:t>
            </w: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0</w:t>
            </w:r>
          </w:p>
        </w:tc>
        <w:tc>
          <w:tcPr>
            <w:tcW w:w="5696" w:type="dxa"/>
            <w:tcBorders>
              <w:top w:val="single" w:sz="4" w:space="0" w:color="000000"/>
              <w:left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障害児相談支援事業所のサービス担当者会議にその子どもの状況に精通した最もふさわしい者が参画しているか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BB3C80">
        <w:trPr>
          <w:trHeight w:val="752"/>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1</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学校との情報共有（年間計画･行事予定等の交換､子どもの下校時刻の確認等）、連絡調整（送迎時の対応、ﾄﾗﾌﾞﾙ発生時の連絡）を適切に行</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457"/>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2</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医療的ケアが必要な子どもを受け入れる場合は､子どもの主治医等と連絡体制を整えているか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507"/>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3</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就学前に利用していた保育所や幼稚園、認定こども園、児童発達支援事業所等との間で情報共有と相互理解に努めているか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685"/>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4</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学校を卒業し、放課後等ディサービス事業所から障害福祉サービス事業所等へ移行する場合､それまでの支援内容等の情報を提供する等しているか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454"/>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5</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児童発達支援センターや発達障害者支援</w:t>
            </w:r>
          </w:p>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センター等の専門機関と連携し、助言や研修を受けているか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r>
              <w:rPr>
                <w:rFonts w:ascii="游明朝" w:eastAsia="游明朝" w:hAnsi="游明朝" w:cs="Times New Roman" w:hint="eastAsia"/>
              </w:rPr>
              <w:t>千葉放課後連・全障研・遊育支援研究会</w:t>
            </w:r>
          </w:p>
        </w:tc>
      </w:tr>
      <w:tr w:rsidR="009A6CB3" w:rsidRPr="00EC4AB6" w:rsidTr="00E37A9C">
        <w:trPr>
          <w:trHeight w:val="504"/>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6</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放課後児童クラブや児童館との交流や、障害のない子どもと活動する機会があるか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r>
              <w:rPr>
                <w:rFonts w:ascii="游明朝" w:eastAsia="游明朝" w:hAnsi="游明朝" w:cs="Times New Roman" w:hint="eastAsia"/>
              </w:rPr>
              <w:t>光の子児童センター</w:t>
            </w:r>
          </w:p>
        </w:tc>
      </w:tr>
      <w:tr w:rsidR="009A6CB3" w:rsidRPr="00EC4AB6" w:rsidTr="00E37A9C">
        <w:trPr>
          <w:trHeight w:val="402"/>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7</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（地域自立支援）協議会等へ積極的に参</w:t>
            </w:r>
          </w:p>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加しているか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449"/>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8</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曰頃から子どもの状況を保護者と伝え合い、子どもの発達の状況や課題について共通理解を持</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612"/>
        </w:trPr>
        <w:tc>
          <w:tcPr>
            <w:tcW w:w="393" w:type="dxa"/>
            <w:vMerge/>
            <w:tcBorders>
              <w:left w:val="single" w:sz="4" w:space="0" w:color="000000"/>
              <w:bottom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2</w:t>
            </w:r>
            <w:r>
              <w:rPr>
                <w:rFonts w:ascii="游明朝" w:eastAsia="游明朝" w:hAnsi="游明朝" w:cs="Times New Roman"/>
              </w:rPr>
              <w:t>9</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保護者の対応力の向上を図る観点から､保護者に対してペアレント･トレーニング等の支援を行</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117"/>
        </w:trPr>
        <w:tc>
          <w:tcPr>
            <w:tcW w:w="393" w:type="dxa"/>
            <w:vMerge w:val="restart"/>
            <w:tcBorders>
              <w:top w:val="single" w:sz="4" w:space="0" w:color="000000"/>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保</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護</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者</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ヘ</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の</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説</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明</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責</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任</w:t>
            </w:r>
          </w:p>
          <w:p w:rsidR="009A6CB3" w:rsidRPr="00EC4AB6" w:rsidRDefault="009A6CB3" w:rsidP="00E37A9C">
            <w:pPr>
              <w:spacing w:line="0" w:lineRule="atLeast"/>
              <w:jc w:val="center"/>
              <w:rPr>
                <w:rFonts w:asciiTheme="majorEastAsia" w:eastAsiaTheme="majorEastAsia" w:hAnsiTheme="majorEastAsia" w:cs="Times New Roman"/>
                <w:sz w:val="20"/>
                <w:szCs w:val="20"/>
              </w:rPr>
            </w:pPr>
            <w:r w:rsidRPr="00EC4AB6">
              <w:rPr>
                <w:rFonts w:asciiTheme="majorEastAsia" w:eastAsiaTheme="majorEastAsia" w:hAnsiTheme="majorEastAsia" w:cs="Times New Roman" w:hint="eastAsia"/>
                <w:color w:val="000000"/>
                <w:sz w:val="20"/>
                <w:szCs w:val="20"/>
              </w:rPr>
              <w:t>等</w:t>
            </w: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0</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運営規程､支援の内容､利用者負担等について丁寧な説明を行</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E37A9C">
        <w:trPr>
          <w:trHeight w:val="396"/>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1</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保護者からの子育ての悩み等に対する相談に適切に応じ､必要な助言と支援を行</w:t>
            </w:r>
            <w:r w:rsidR="00BB3C80">
              <w:rPr>
                <w:rFonts w:ascii="Times New Roman" w:eastAsia="ＭＳ ゴシック" w:hAnsi="Times New Roman" w:cs="Times New Roman" w:hint="eastAsia"/>
                <w:color w:val="000000"/>
                <w:sz w:val="20"/>
              </w:rPr>
              <w:t>って</w:t>
            </w:r>
            <w:r w:rsidRPr="00EC4AB6">
              <w:rPr>
                <w:rFonts w:ascii="Times New Roman" w:eastAsia="ＭＳ ゴシック" w:hAnsi="Times New Roman" w:cs="Times New Roman" w:hint="eastAsia"/>
                <w:color w:val="000000"/>
                <w:sz w:val="20"/>
              </w:rPr>
              <w:t>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EC4AB6" w:rsidRDefault="009A6CB3" w:rsidP="00E37A9C">
            <w:pPr>
              <w:spacing w:line="0" w:lineRule="atLeast"/>
              <w:rPr>
                <w:rFonts w:ascii="游明朝" w:eastAsia="游明朝" w:hAnsi="游明朝" w:cs="Times New Roman"/>
              </w:rPr>
            </w:pPr>
          </w:p>
        </w:tc>
      </w:tr>
      <w:tr w:rsidR="009A6CB3" w:rsidRPr="00EC4AB6" w:rsidTr="00BB3C80">
        <w:trPr>
          <w:trHeight w:val="652"/>
        </w:trPr>
        <w:tc>
          <w:tcPr>
            <w:tcW w:w="393" w:type="dxa"/>
            <w:vMerge/>
            <w:tcBorders>
              <w:left w:val="single" w:sz="4" w:space="0" w:color="000000"/>
              <w:right w:val="single" w:sz="4" w:space="0" w:color="000000"/>
            </w:tcBorders>
            <w:shd w:val="clear" w:color="auto" w:fill="CCFF66"/>
            <w:vAlign w:val="center"/>
          </w:tcPr>
          <w:p w:rsidR="009A6CB3" w:rsidRPr="00EC4AB6" w:rsidRDefault="009A6CB3" w:rsidP="00E37A9C">
            <w:pPr>
              <w:spacing w:line="0" w:lineRule="atLeast"/>
              <w:jc w:val="center"/>
              <w:rPr>
                <w:rFonts w:asciiTheme="majorEastAsia" w:eastAsiaTheme="majorEastAsia" w:hAnsiTheme="majorEastAsia"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2</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父母の会の活動を支援したり､保護者会等</w:t>
            </w:r>
          </w:p>
          <w:p w:rsidR="009A6CB3" w:rsidRPr="00EC4AB6" w:rsidRDefault="009A6CB3" w:rsidP="00E37A9C">
            <w:pPr>
              <w:spacing w:line="0" w:lineRule="atLeast"/>
              <w:rPr>
                <w:rFonts w:ascii="游明朝" w:eastAsia="游明朝" w:hAnsi="游明朝" w:cs="Times New Roman"/>
              </w:rPr>
            </w:pPr>
            <w:r w:rsidRPr="00EC4AB6">
              <w:rPr>
                <w:rFonts w:ascii="Times New Roman" w:eastAsia="ＭＳ ゴシック" w:hAnsi="Times New Roman" w:cs="Times New Roman" w:hint="eastAsia"/>
                <w:color w:val="000000"/>
                <w:sz w:val="20"/>
              </w:rPr>
              <w:t>を開催する等により、保護者同士の連携を支援しているか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BB3C80" w:rsidP="00E37A9C">
            <w:pPr>
              <w:spacing w:line="0" w:lineRule="atLeast"/>
              <w:jc w:val="center"/>
              <w:rPr>
                <w:rFonts w:ascii="游明朝" w:eastAsia="游明朝" w:hAnsi="游明朝" w:cs="Times New Roman"/>
              </w:rPr>
            </w:pPr>
            <w:r>
              <w:rPr>
                <w:rFonts w:ascii="游明朝" w:eastAsia="游明朝" w:hAnsi="游明朝" w:cs="Times New Roman" w:hint="eastAsia"/>
                <w:sz w:val="20"/>
                <w:szCs w:val="20"/>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spacing w:line="0" w:lineRule="atLeast"/>
              <w:jc w:val="center"/>
              <w:rPr>
                <w:rFonts w:ascii="游明朝" w:eastAsia="游明朝" w:hAnsi="游明朝" w:cs="Times New Roman"/>
              </w:rPr>
            </w:pPr>
          </w:p>
        </w:tc>
        <w:tc>
          <w:tcPr>
            <w:tcW w:w="2910" w:type="dxa"/>
            <w:tcBorders>
              <w:top w:val="single" w:sz="4" w:space="0" w:color="000000"/>
              <w:left w:val="single" w:sz="4" w:space="0" w:color="000000"/>
              <w:bottom w:val="single" w:sz="4" w:space="0" w:color="000000"/>
              <w:right w:val="single" w:sz="4" w:space="0" w:color="000000"/>
            </w:tcBorders>
          </w:tcPr>
          <w:p w:rsidR="009A6CB3" w:rsidRPr="00BB3C80" w:rsidRDefault="00BB3C80" w:rsidP="00E37A9C">
            <w:pPr>
              <w:spacing w:line="0" w:lineRule="atLeast"/>
              <w:rPr>
                <w:rFonts w:ascii="游明朝" w:eastAsia="游明朝" w:hAnsi="游明朝" w:cs="Times New Roman"/>
              </w:rPr>
            </w:pPr>
            <w:r>
              <w:rPr>
                <w:rFonts w:ascii="游明朝" w:eastAsia="游明朝" w:hAnsi="游明朝" w:cs="Times New Roman" w:hint="eastAsia"/>
              </w:rPr>
              <w:t>山武地区親の会と連携している。</w:t>
            </w:r>
          </w:p>
        </w:tc>
      </w:tr>
      <w:tr w:rsidR="009A6CB3" w:rsidTr="00E37A9C">
        <w:trPr>
          <w:trHeight w:val="846"/>
        </w:trPr>
        <w:tc>
          <w:tcPr>
            <w:tcW w:w="393" w:type="dxa"/>
            <w:vMerge/>
            <w:tcBorders>
              <w:left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3</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子どもや保護者からの苦情について､対応の体制を整備するとともに子どもや保護者に周知し､苦情があつた場合に迅速かつ適切に対応しているか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628"/>
        </w:trPr>
        <w:tc>
          <w:tcPr>
            <w:tcW w:w="393" w:type="dxa"/>
            <w:vMerge/>
            <w:tcBorders>
              <w:left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4</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定期的に会報等を発行し、活動概要や行事予定､連絡体制等の情報を子どもや保護者に対して発信しているか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r>
              <w:rPr>
                <w:rFonts w:hint="eastAsia"/>
              </w:rPr>
              <w:t>「貝がらつうしん」</w:t>
            </w:r>
          </w:p>
        </w:tc>
      </w:tr>
      <w:tr w:rsidR="009A6CB3" w:rsidTr="00E37A9C">
        <w:trPr>
          <w:trHeight w:val="270"/>
        </w:trPr>
        <w:tc>
          <w:tcPr>
            <w:tcW w:w="393" w:type="dxa"/>
            <w:vMerge/>
            <w:tcBorders>
              <w:left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5</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個人情報に十分注意しているか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565"/>
        </w:trPr>
        <w:tc>
          <w:tcPr>
            <w:tcW w:w="393" w:type="dxa"/>
            <w:vMerge/>
            <w:tcBorders>
              <w:left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6</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障害のある子どもや保護者との意思の疎通や情報伝達のための配慮をしているか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447"/>
        </w:trPr>
        <w:tc>
          <w:tcPr>
            <w:tcW w:w="393" w:type="dxa"/>
            <w:vMerge/>
            <w:tcBorders>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7</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事業所の行事に地域住民を招待する等地</w:t>
            </w:r>
          </w:p>
          <w:p w:rsidR="009A6CB3" w:rsidRDefault="009A6CB3" w:rsidP="00E37A9C">
            <w:pPr>
              <w:spacing w:line="0" w:lineRule="atLeast"/>
            </w:pPr>
            <w:r>
              <w:rPr>
                <w:rFonts w:ascii="Times New Roman" w:eastAsia="ＭＳ ゴシック" w:hAnsi="Times New Roman" w:hint="eastAsia"/>
                <w:color w:val="000000"/>
                <w:sz w:val="20"/>
              </w:rPr>
              <w:t>域に開かれた事業運営を図つているか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61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非</w:t>
            </w:r>
          </w:p>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常</w:t>
            </w:r>
          </w:p>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時</w:t>
            </w:r>
          </w:p>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等</w:t>
            </w:r>
          </w:p>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の</w:t>
            </w:r>
          </w:p>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対</w:t>
            </w:r>
          </w:p>
          <w:p w:rsidR="009A6CB3" w:rsidRPr="001473C6" w:rsidRDefault="009A6CB3" w:rsidP="00E37A9C">
            <w:pPr>
              <w:spacing w:line="0" w:lineRule="atLeast"/>
              <w:jc w:val="center"/>
              <w:rPr>
                <w:rFonts w:asciiTheme="majorEastAsia" w:eastAsiaTheme="majorEastAsia" w:hAnsiTheme="majorEastAsia"/>
                <w:sz w:val="20"/>
                <w:szCs w:val="20"/>
              </w:rPr>
            </w:pPr>
            <w:r w:rsidRPr="001473C6">
              <w:rPr>
                <w:rFonts w:asciiTheme="majorEastAsia" w:eastAsiaTheme="majorEastAsia" w:hAnsiTheme="majorEastAsia" w:hint="eastAsia"/>
                <w:color w:val="000000"/>
                <w:sz w:val="20"/>
                <w:szCs w:val="20"/>
              </w:rPr>
              <w:t>応</w:t>
            </w: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8</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緊急時対応マニユアル、防犯マニユアル、感染症対応マニユアルを策定し、職員や保護者に周知しているか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BB3C80" w:rsidP="00E37A9C">
            <w:pPr>
              <w:spacing w:line="0" w:lineRule="atLeast"/>
              <w:jc w:val="center"/>
            </w:pPr>
            <w:r w:rsidRPr="009F202A">
              <w:rPr>
                <w:rFonts w:ascii="Times New Roman" w:eastAsia="ＭＳ ゴシック" w:hAnsi="Times New Roman" w:cs="Times New Roman" w:hint="eastAsia"/>
                <w:color w:val="000000"/>
                <w:sz w:val="20"/>
                <w:szCs w:val="20"/>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BB3C80" w:rsidP="00E37A9C">
            <w:pPr>
              <w:spacing w:line="0" w:lineRule="atLeast"/>
            </w:pPr>
            <w:r>
              <w:rPr>
                <w:rFonts w:hint="eastAsia"/>
              </w:rPr>
              <w:t>事業所内での活用にとどまっている。</w:t>
            </w:r>
          </w:p>
        </w:tc>
      </w:tr>
      <w:tr w:rsidR="009A6CB3" w:rsidTr="00E37A9C">
        <w:trPr>
          <w:trHeight w:val="455"/>
        </w:trPr>
        <w:tc>
          <w:tcPr>
            <w:tcW w:w="393" w:type="dxa"/>
            <w:vMerge/>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3</w:t>
            </w:r>
            <w:r>
              <w:rPr>
                <w:rFonts w:ascii="游明朝" w:eastAsia="游明朝" w:hAnsi="游明朝" w:cs="Times New Roman"/>
              </w:rPr>
              <w:t>9</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非常災害の発生に備え、定期的に避難､救出その他必要な訓練を行つているか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352"/>
        </w:trPr>
        <w:tc>
          <w:tcPr>
            <w:tcW w:w="393" w:type="dxa"/>
            <w:vMerge/>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4</w:t>
            </w:r>
            <w:r>
              <w:rPr>
                <w:rFonts w:ascii="游明朝" w:eastAsia="游明朝" w:hAnsi="游明朝" w:cs="Times New Roman"/>
              </w:rPr>
              <w:t>0</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虐待を防止するため、職員の研修機会を確保する等､適切な対応をしているか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870"/>
        </w:trPr>
        <w:tc>
          <w:tcPr>
            <w:tcW w:w="393" w:type="dxa"/>
            <w:vMerge/>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4</w:t>
            </w:r>
            <w:r>
              <w:rPr>
                <w:rFonts w:ascii="游明朝" w:eastAsia="游明朝" w:hAnsi="游明朝" w:cs="Times New Roman"/>
              </w:rPr>
              <w:t>1</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どのような場合にやむを得ず身体拘束を行うかについて、組織的に決定し、子どもや保護者に事前に十分に説明し了解を得た上で、放課後等ディサービス計画に記截しているか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310"/>
        </w:trPr>
        <w:tc>
          <w:tcPr>
            <w:tcW w:w="393" w:type="dxa"/>
            <w:vMerge/>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4</w:t>
            </w:r>
            <w:r>
              <w:rPr>
                <w:rFonts w:ascii="游明朝" w:eastAsia="游明朝" w:hAnsi="游明朝" w:cs="Times New Roman"/>
              </w:rPr>
              <w:t>2</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食物アレルギーのある子どもについて、医師の指示書に基づく対応がされているか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r w:rsidRPr="009F202A">
              <w:rPr>
                <w:rFonts w:ascii="Times New Roman" w:eastAsia="ＭＳ ゴシック" w:hAnsi="Times New Roman" w:cs="Times New Roman"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r w:rsidR="009A6CB3" w:rsidTr="00E37A9C">
        <w:trPr>
          <w:trHeight w:val="81"/>
        </w:trPr>
        <w:tc>
          <w:tcPr>
            <w:tcW w:w="393" w:type="dxa"/>
            <w:vMerge/>
            <w:tcBorders>
              <w:top w:val="single" w:sz="4" w:space="0" w:color="000000"/>
              <w:left w:val="single" w:sz="4" w:space="0" w:color="000000"/>
              <w:bottom w:val="single" w:sz="4" w:space="0" w:color="000000"/>
              <w:right w:val="single" w:sz="4" w:space="0" w:color="000000"/>
            </w:tcBorders>
            <w:shd w:val="clear" w:color="auto" w:fill="CCFF66"/>
            <w:vAlign w:val="center"/>
          </w:tcPr>
          <w:p w:rsidR="009A6CB3" w:rsidRPr="001473C6" w:rsidRDefault="009A6CB3" w:rsidP="00E37A9C">
            <w:pPr>
              <w:spacing w:line="0" w:lineRule="atLeast"/>
              <w:jc w:val="center"/>
              <w:rPr>
                <w:rFonts w:asciiTheme="majorEastAsia" w:eastAsiaTheme="majorEastAsia" w:hAnsiTheme="majorEastAsia"/>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7A7436" w:rsidP="00E37A9C">
            <w:pPr>
              <w:spacing w:line="0" w:lineRule="atLeast"/>
              <w:jc w:val="center"/>
              <w:rPr>
                <w:rFonts w:ascii="游明朝" w:eastAsia="游明朝" w:hAnsi="游明朝" w:cs="Times New Roman"/>
              </w:rPr>
            </w:pPr>
            <w:r>
              <w:rPr>
                <w:rFonts w:ascii="游明朝" w:eastAsia="游明朝" w:hAnsi="游明朝" w:cs="Times New Roman" w:hint="eastAsia"/>
              </w:rPr>
              <w:t>4</w:t>
            </w:r>
            <w:r>
              <w:rPr>
                <w:rFonts w:ascii="游明朝" w:eastAsia="游明朝" w:hAnsi="游明朝" w:cs="Times New Roman"/>
              </w:rPr>
              <w:t>3</w:t>
            </w:r>
          </w:p>
        </w:tc>
        <w:tc>
          <w:tcPr>
            <w:tcW w:w="569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pPr>
            <w:r>
              <w:rPr>
                <w:rFonts w:ascii="Times New Roman" w:eastAsia="ＭＳ ゴシック" w:hAnsi="Times New Roman" w:hint="eastAsia"/>
                <w:color w:val="000000"/>
                <w:sz w:val="20"/>
              </w:rPr>
              <w:t>ﾋﾔﾘﾊﾂﾄ事例集を作成して事業所内で共</w:t>
            </w:r>
          </w:p>
          <w:p w:rsidR="009A6CB3" w:rsidRDefault="009A6CB3" w:rsidP="00E37A9C">
            <w:pPr>
              <w:spacing w:line="0" w:lineRule="atLeast"/>
            </w:pPr>
            <w:r>
              <w:rPr>
                <w:rFonts w:ascii="Times New Roman" w:eastAsia="ＭＳ ゴシック" w:hAnsi="Times New Roman" w:hint="eastAsia"/>
                <w:color w:val="000000"/>
                <w:sz w:val="20"/>
              </w:rPr>
              <w:t>有しているか</w:t>
            </w: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Pr="00EC4AB6" w:rsidRDefault="009A6CB3" w:rsidP="00E37A9C">
            <w:pPr>
              <w:jc w:val="center"/>
              <w:rPr>
                <w:rFonts w:ascii="游明朝" w:eastAsia="游明朝" w:hAnsi="游明朝"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A6CB3" w:rsidRDefault="00BB3C80" w:rsidP="00E37A9C">
            <w:pPr>
              <w:spacing w:line="0" w:lineRule="atLeast"/>
              <w:jc w:val="center"/>
            </w:pPr>
            <w:r w:rsidRPr="009F202A">
              <w:rPr>
                <w:rFonts w:ascii="Times New Roman" w:eastAsia="ＭＳ ゴシック" w:hAnsi="Times New Roman" w:cs="Times New Roman" w:hint="eastAsia"/>
                <w:color w:val="000000"/>
                <w:sz w:val="20"/>
                <w:szCs w:val="20"/>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9A6CB3" w:rsidRDefault="009A6CB3" w:rsidP="00E37A9C">
            <w:pPr>
              <w:spacing w:line="0" w:lineRule="atLeast"/>
              <w:jc w:val="center"/>
            </w:pPr>
          </w:p>
        </w:tc>
        <w:tc>
          <w:tcPr>
            <w:tcW w:w="2910" w:type="dxa"/>
            <w:tcBorders>
              <w:top w:val="single" w:sz="4" w:space="0" w:color="000000"/>
              <w:left w:val="single" w:sz="4" w:space="0" w:color="000000"/>
              <w:bottom w:val="single" w:sz="4" w:space="0" w:color="000000"/>
              <w:right w:val="single" w:sz="4" w:space="0" w:color="000000"/>
            </w:tcBorders>
          </w:tcPr>
          <w:p w:rsidR="009A6CB3" w:rsidRDefault="009A6CB3" w:rsidP="00E37A9C">
            <w:pPr>
              <w:spacing w:line="0" w:lineRule="atLeast"/>
            </w:pPr>
          </w:p>
        </w:tc>
      </w:tr>
    </w:tbl>
    <w:p w:rsidR="00EC4AB6" w:rsidRDefault="00EC4AB6" w:rsidP="00443199">
      <w:pPr>
        <w:spacing w:line="0" w:lineRule="atLeast"/>
        <w:rPr>
          <w:sz w:val="24"/>
          <w:szCs w:val="24"/>
        </w:rPr>
      </w:pPr>
    </w:p>
    <w:p w:rsidR="009F202A" w:rsidRDefault="009F202A" w:rsidP="00443199">
      <w:pPr>
        <w:spacing w:line="0" w:lineRule="atLeast"/>
        <w:rPr>
          <w:sz w:val="24"/>
          <w:szCs w:val="24"/>
        </w:rPr>
      </w:pPr>
    </w:p>
    <w:p w:rsidR="009F202A" w:rsidRDefault="009F202A" w:rsidP="00443199">
      <w:pPr>
        <w:spacing w:line="0" w:lineRule="atLeast"/>
        <w:rPr>
          <w:sz w:val="24"/>
          <w:szCs w:val="24"/>
        </w:rPr>
      </w:pPr>
    </w:p>
    <w:sectPr w:rsidR="009F202A" w:rsidSect="00E5351D">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D5" w:rsidRDefault="00B618D5" w:rsidP="00EC4AB6">
      <w:r>
        <w:separator/>
      </w:r>
    </w:p>
  </w:endnote>
  <w:endnote w:type="continuationSeparator" w:id="0">
    <w:p w:rsidR="00B618D5" w:rsidRDefault="00B618D5" w:rsidP="00EC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D5" w:rsidRDefault="00B618D5" w:rsidP="00EC4AB6">
      <w:r>
        <w:separator/>
      </w:r>
    </w:p>
  </w:footnote>
  <w:footnote w:type="continuationSeparator" w:id="0">
    <w:p w:rsidR="00B618D5" w:rsidRDefault="00B618D5" w:rsidP="00EC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70"/>
    <w:rsid w:val="00014582"/>
    <w:rsid w:val="0003421E"/>
    <w:rsid w:val="000F72AA"/>
    <w:rsid w:val="001275B3"/>
    <w:rsid w:val="001473C6"/>
    <w:rsid w:val="002D6F3A"/>
    <w:rsid w:val="003B4406"/>
    <w:rsid w:val="00437A7A"/>
    <w:rsid w:val="00443199"/>
    <w:rsid w:val="005E078E"/>
    <w:rsid w:val="0071479A"/>
    <w:rsid w:val="007A7436"/>
    <w:rsid w:val="00934A0F"/>
    <w:rsid w:val="009A6CB3"/>
    <w:rsid w:val="009F202A"/>
    <w:rsid w:val="00A342A0"/>
    <w:rsid w:val="00A56A8F"/>
    <w:rsid w:val="00B04710"/>
    <w:rsid w:val="00B618D5"/>
    <w:rsid w:val="00BB3C80"/>
    <w:rsid w:val="00D21958"/>
    <w:rsid w:val="00D763FF"/>
    <w:rsid w:val="00D8092F"/>
    <w:rsid w:val="00DB3F60"/>
    <w:rsid w:val="00E24570"/>
    <w:rsid w:val="00E37A9C"/>
    <w:rsid w:val="00E5351D"/>
    <w:rsid w:val="00EC4AB6"/>
    <w:rsid w:val="00FC27C3"/>
    <w:rsid w:val="00FF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657807-C24C-4C41-9ED3-83D8A7AC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9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092F"/>
    <w:rPr>
      <w:rFonts w:asciiTheme="majorHAnsi" w:eastAsiaTheme="majorEastAsia" w:hAnsiTheme="majorHAnsi" w:cstheme="majorBidi"/>
      <w:sz w:val="18"/>
      <w:szCs w:val="18"/>
    </w:rPr>
  </w:style>
  <w:style w:type="paragraph" w:styleId="a5">
    <w:name w:val="header"/>
    <w:basedOn w:val="a"/>
    <w:link w:val="a6"/>
    <w:uiPriority w:val="99"/>
    <w:unhideWhenUsed/>
    <w:rsid w:val="00EC4AB6"/>
    <w:pPr>
      <w:tabs>
        <w:tab w:val="center" w:pos="4252"/>
        <w:tab w:val="right" w:pos="8504"/>
      </w:tabs>
      <w:snapToGrid w:val="0"/>
    </w:pPr>
  </w:style>
  <w:style w:type="character" w:customStyle="1" w:styleId="a6">
    <w:name w:val="ヘッダー (文字)"/>
    <w:basedOn w:val="a0"/>
    <w:link w:val="a5"/>
    <w:uiPriority w:val="99"/>
    <w:rsid w:val="00EC4AB6"/>
  </w:style>
  <w:style w:type="paragraph" w:styleId="a7">
    <w:name w:val="footer"/>
    <w:basedOn w:val="a"/>
    <w:link w:val="a8"/>
    <w:uiPriority w:val="99"/>
    <w:unhideWhenUsed/>
    <w:rsid w:val="00EC4AB6"/>
    <w:pPr>
      <w:tabs>
        <w:tab w:val="center" w:pos="4252"/>
        <w:tab w:val="right" w:pos="8504"/>
      </w:tabs>
      <w:snapToGrid w:val="0"/>
    </w:pPr>
  </w:style>
  <w:style w:type="character" w:customStyle="1" w:styleId="a8">
    <w:name w:val="フッター (文字)"/>
    <w:basedOn w:val="a0"/>
    <w:link w:val="a7"/>
    <w:uiPriority w:val="99"/>
    <w:rsid w:val="00E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A0D1-2859-4101-B80B-1CC58652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田中哲</dc:creator>
  <cp:keywords/>
  <dc:description/>
  <cp:lastModifiedBy>生きがいコーディネーター マナの家</cp:lastModifiedBy>
  <cp:revision>2</cp:revision>
  <cp:lastPrinted>2018-04-09T05:11:00Z</cp:lastPrinted>
  <dcterms:created xsi:type="dcterms:W3CDTF">2018-04-09T06:26:00Z</dcterms:created>
  <dcterms:modified xsi:type="dcterms:W3CDTF">2018-04-09T06:26:00Z</dcterms:modified>
</cp:coreProperties>
</file>